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1B8" w:rsidRPr="002C417C" w:rsidRDefault="0072387A">
      <w:pPr>
        <w:spacing w:after="174"/>
        <w:ind w:left="-5"/>
        <w:rPr>
          <w:rFonts w:ascii="Arial" w:hAnsi="Arial" w:cs="Arial"/>
          <w:b/>
          <w:color w:val="auto"/>
          <w:sz w:val="28"/>
          <w:szCs w:val="28"/>
        </w:rPr>
      </w:pPr>
      <w:r>
        <w:rPr>
          <w:rFonts w:ascii="Arial" w:eastAsia="Arial" w:hAnsi="Arial" w:cs="Arial"/>
          <w:b/>
          <w:color w:val="auto"/>
          <w:sz w:val="28"/>
          <w:szCs w:val="28"/>
        </w:rPr>
        <w:t>Housing</w:t>
      </w:r>
      <w:r w:rsidRPr="00881B7C">
        <w:rPr>
          <w:rFonts w:ascii="Arial" w:eastAsia="Arial" w:hAnsi="Arial" w:cs="Arial"/>
          <w:b/>
          <w:color w:val="auto"/>
          <w:sz w:val="28"/>
          <w:szCs w:val="28"/>
        </w:rPr>
        <w:t xml:space="preserve"> Policy Group</w:t>
      </w:r>
      <w:r w:rsidR="002C417C">
        <w:rPr>
          <w:rFonts w:ascii="Arial" w:eastAsia="Arial" w:hAnsi="Arial" w:cs="Arial"/>
          <w:b/>
          <w:color w:val="auto"/>
          <w:sz w:val="28"/>
          <w:szCs w:val="28"/>
        </w:rPr>
        <w:t>:</w:t>
      </w:r>
      <w:r w:rsidRPr="00881B7C">
        <w:rPr>
          <w:rFonts w:ascii="Arial" w:hAnsi="Arial" w:cs="Arial"/>
          <w:color w:val="auto"/>
          <w:sz w:val="28"/>
          <w:szCs w:val="28"/>
        </w:rPr>
        <w:t xml:space="preserve"> </w:t>
      </w:r>
      <w:r w:rsidR="002C417C" w:rsidRPr="002C417C">
        <w:rPr>
          <w:rFonts w:ascii="Arial" w:hAnsi="Arial" w:cs="Arial"/>
          <w:b/>
          <w:color w:val="auto"/>
          <w:sz w:val="28"/>
          <w:szCs w:val="28"/>
        </w:rPr>
        <w:t>Identification</w:t>
      </w:r>
      <w:r w:rsidRPr="002C417C">
        <w:rPr>
          <w:rFonts w:ascii="Arial" w:hAnsi="Arial" w:cs="Arial"/>
          <w:b/>
          <w:color w:val="auto"/>
          <w:sz w:val="28"/>
          <w:szCs w:val="28"/>
        </w:rPr>
        <w:t xml:space="preserve"> preliminary set of</w:t>
      </w:r>
      <w:r w:rsidR="002C417C" w:rsidRPr="002C417C">
        <w:rPr>
          <w:rFonts w:ascii="Arial" w:hAnsi="Arial" w:cs="Arial"/>
          <w:b/>
          <w:color w:val="auto"/>
          <w:sz w:val="28"/>
          <w:szCs w:val="28"/>
        </w:rPr>
        <w:t xml:space="preserve"> </w:t>
      </w:r>
      <w:r w:rsidRPr="002C417C">
        <w:rPr>
          <w:rFonts w:ascii="Arial" w:hAnsi="Arial" w:cs="Arial"/>
          <w:b/>
          <w:color w:val="auto"/>
          <w:sz w:val="28"/>
          <w:szCs w:val="28"/>
        </w:rPr>
        <w:t xml:space="preserve">objectives and </w:t>
      </w:r>
      <w:r w:rsidRPr="002C417C">
        <w:rPr>
          <w:rFonts w:ascii="Arial" w:hAnsi="Arial" w:cs="Arial"/>
          <w:b/>
          <w:color w:val="auto"/>
          <w:sz w:val="28"/>
          <w:szCs w:val="28"/>
        </w:rPr>
        <w:t xml:space="preserve">policy </w:t>
      </w:r>
      <w:proofErr w:type="gramStart"/>
      <w:r w:rsidRPr="002C417C">
        <w:rPr>
          <w:rFonts w:ascii="Arial" w:hAnsi="Arial" w:cs="Arial"/>
          <w:b/>
          <w:color w:val="auto"/>
          <w:sz w:val="28"/>
          <w:szCs w:val="28"/>
        </w:rPr>
        <w:t xml:space="preserve">options </w:t>
      </w:r>
      <w:r w:rsidRPr="002C417C">
        <w:rPr>
          <w:rFonts w:ascii="Arial" w:hAnsi="Arial" w:cs="Arial"/>
          <w:b/>
          <w:color w:val="auto"/>
          <w:sz w:val="28"/>
          <w:szCs w:val="28"/>
        </w:rPr>
        <w:t xml:space="preserve"> for</w:t>
      </w:r>
      <w:proofErr w:type="gramEnd"/>
      <w:r w:rsidRPr="002C417C">
        <w:rPr>
          <w:rFonts w:ascii="Arial" w:hAnsi="Arial" w:cs="Arial"/>
          <w:b/>
          <w:color w:val="auto"/>
          <w:sz w:val="28"/>
          <w:szCs w:val="28"/>
        </w:rPr>
        <w:t xml:space="preserve"> the </w:t>
      </w:r>
      <w:r w:rsidRPr="002C417C">
        <w:rPr>
          <w:rFonts w:ascii="Arial" w:hAnsi="Arial" w:cs="Arial"/>
          <w:b/>
          <w:color w:val="auto"/>
          <w:sz w:val="28"/>
          <w:szCs w:val="28"/>
        </w:rPr>
        <w:t>Housing</w:t>
      </w:r>
      <w:r w:rsidRPr="002C417C">
        <w:rPr>
          <w:rFonts w:ascii="Arial" w:hAnsi="Arial" w:cs="Arial"/>
          <w:b/>
          <w:color w:val="auto"/>
          <w:sz w:val="28"/>
          <w:szCs w:val="28"/>
        </w:rPr>
        <w:t xml:space="preserve"> Policy area of the Neighbourhood Plan.</w:t>
      </w:r>
    </w:p>
    <w:p w:rsidR="002C417C" w:rsidRPr="002C417C" w:rsidRDefault="002C417C" w:rsidP="002C417C">
      <w:pPr>
        <w:spacing w:after="0" w:line="240" w:lineRule="auto"/>
        <w:ind w:left="0" w:firstLine="0"/>
        <w:rPr>
          <w:sz w:val="28"/>
          <w:szCs w:val="28"/>
        </w:rPr>
      </w:pPr>
      <w:r w:rsidRPr="002C417C">
        <w:rPr>
          <w:b/>
          <w:sz w:val="28"/>
          <w:szCs w:val="28"/>
        </w:rPr>
        <w:t>Introduction:</w:t>
      </w:r>
      <w:r w:rsidRPr="002C417C">
        <w:rPr>
          <w:sz w:val="28"/>
          <w:szCs w:val="28"/>
        </w:rPr>
        <w:t xml:space="preserve"> the developing Joint Local Plan will impact on the Housing Policy of Keele Parish and the Plan Group are working closely with the Borough and University in this respect.  Consultations suggest the University hopes to have 19,000 students by the end of the plan period</w:t>
      </w:r>
      <w:r>
        <w:rPr>
          <w:sz w:val="28"/>
          <w:szCs w:val="28"/>
        </w:rPr>
        <w:t xml:space="preserve"> which in turn will drive </w:t>
      </w:r>
      <w:r w:rsidRPr="002C417C">
        <w:rPr>
          <w:sz w:val="28"/>
          <w:szCs w:val="28"/>
        </w:rPr>
        <w:t xml:space="preserve">a growth in the number of staff and increase demand for local housing.  </w:t>
      </w:r>
      <w:r>
        <w:rPr>
          <w:sz w:val="28"/>
          <w:szCs w:val="28"/>
        </w:rPr>
        <w:t>The responses to our residents’ questionnaire indicate a need for a variety of</w:t>
      </w:r>
      <w:bookmarkStart w:id="0" w:name="_GoBack"/>
      <w:bookmarkEnd w:id="0"/>
      <w:r>
        <w:rPr>
          <w:sz w:val="28"/>
          <w:szCs w:val="28"/>
        </w:rPr>
        <w:t xml:space="preserve"> housing and a desire to see Keele remain an integrated community thus driving the need for housing for local workers.  All community consultations have highlighted the importance of the parish’s predominantly rural character and its heritage assets both on and off campus.</w:t>
      </w:r>
    </w:p>
    <w:p w:rsidR="00A621B8" w:rsidRPr="002C417C" w:rsidRDefault="006E694A" w:rsidP="0072387A">
      <w:pPr>
        <w:spacing w:after="149"/>
        <w:ind w:left="0" w:firstLine="0"/>
        <w:rPr>
          <w:sz w:val="28"/>
          <w:szCs w:val="28"/>
        </w:rPr>
      </w:pPr>
      <w:r w:rsidRPr="002C417C">
        <w:rPr>
          <w:sz w:val="28"/>
          <w:szCs w:val="28"/>
        </w:rPr>
        <w:t xml:space="preserve"> </w:t>
      </w:r>
    </w:p>
    <w:p w:rsidR="00A621B8" w:rsidRPr="002C417C" w:rsidRDefault="006E694A">
      <w:pPr>
        <w:spacing w:after="150"/>
        <w:ind w:left="-5"/>
        <w:rPr>
          <w:sz w:val="28"/>
          <w:szCs w:val="28"/>
        </w:rPr>
      </w:pPr>
      <w:r w:rsidRPr="002C417C">
        <w:rPr>
          <w:rFonts w:ascii="Arial" w:eastAsia="Arial" w:hAnsi="Arial" w:cs="Arial"/>
          <w:i/>
          <w:sz w:val="28"/>
          <w:szCs w:val="28"/>
          <w:u w:val="single" w:color="000000"/>
        </w:rPr>
        <w:t>Objectives of the Housing Policy area.</w:t>
      </w:r>
      <w:r w:rsidRPr="002C417C">
        <w:rPr>
          <w:rFonts w:ascii="Arial" w:eastAsia="Arial" w:hAnsi="Arial" w:cs="Arial"/>
          <w:i/>
          <w:sz w:val="28"/>
          <w:szCs w:val="28"/>
        </w:rPr>
        <w:t xml:space="preserve"> </w:t>
      </w:r>
    </w:p>
    <w:p w:rsidR="00A621B8" w:rsidRPr="002C417C" w:rsidRDefault="0072387A">
      <w:pPr>
        <w:ind w:left="-5"/>
        <w:rPr>
          <w:sz w:val="28"/>
          <w:szCs w:val="28"/>
        </w:rPr>
      </w:pPr>
      <w:r w:rsidRPr="002C417C">
        <w:rPr>
          <w:sz w:val="28"/>
          <w:szCs w:val="28"/>
        </w:rPr>
        <w:t xml:space="preserve"> </w:t>
      </w:r>
      <w:r w:rsidR="006E694A" w:rsidRPr="002C417C">
        <w:rPr>
          <w:sz w:val="28"/>
          <w:szCs w:val="28"/>
        </w:rPr>
        <w:t>(Acronyms: KNPQ – Keele Neighbourhood Plan Questionnaire responses; KPC- Keele Parish Council;  NPHPC – Keele Neighbourhood Plan Housing Policy Group; SHMAA - Strategic Hou</w:t>
      </w:r>
      <w:r w:rsidRPr="002C417C">
        <w:rPr>
          <w:sz w:val="28"/>
          <w:szCs w:val="28"/>
        </w:rPr>
        <w:t>sing Market Assessment report), UMP-University Master Plan</w:t>
      </w:r>
    </w:p>
    <w:p w:rsidR="00A621B8" w:rsidRPr="002C417C" w:rsidRDefault="006E694A">
      <w:pPr>
        <w:spacing w:after="0"/>
        <w:ind w:left="0" w:firstLine="0"/>
        <w:rPr>
          <w:sz w:val="28"/>
          <w:szCs w:val="28"/>
        </w:rPr>
      </w:pPr>
      <w:r w:rsidRPr="002C417C">
        <w:rPr>
          <w:sz w:val="28"/>
          <w:szCs w:val="28"/>
        </w:rPr>
        <w:t xml:space="preserve"> </w:t>
      </w:r>
    </w:p>
    <w:tbl>
      <w:tblPr>
        <w:tblStyle w:val="TableGrid"/>
        <w:tblW w:w="9067" w:type="dxa"/>
        <w:tblInd w:w="5" w:type="dxa"/>
        <w:tblCellMar>
          <w:top w:w="134" w:type="dxa"/>
          <w:left w:w="108" w:type="dxa"/>
          <w:right w:w="115" w:type="dxa"/>
        </w:tblCellMar>
        <w:tblLook w:val="04A0" w:firstRow="1" w:lastRow="0" w:firstColumn="1" w:lastColumn="0" w:noHBand="0" w:noVBand="1"/>
      </w:tblPr>
      <w:tblGrid>
        <w:gridCol w:w="566"/>
        <w:gridCol w:w="4251"/>
        <w:gridCol w:w="4250"/>
      </w:tblGrid>
      <w:tr w:rsidR="00A621B8" w:rsidRPr="002C417C">
        <w:trPr>
          <w:trHeight w:val="978"/>
        </w:trPr>
        <w:tc>
          <w:tcPr>
            <w:tcW w:w="4815" w:type="dxa"/>
            <w:gridSpan w:val="2"/>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Objective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149"/>
              <w:ind w:left="0" w:firstLine="0"/>
              <w:rPr>
                <w:sz w:val="28"/>
                <w:szCs w:val="28"/>
              </w:rPr>
            </w:pPr>
            <w:r w:rsidRPr="002C417C">
              <w:rPr>
                <w:sz w:val="28"/>
                <w:szCs w:val="28"/>
              </w:rPr>
              <w:t xml:space="preserve">Source of / justification for suggestion </w:t>
            </w:r>
          </w:p>
          <w:p w:rsidR="00A621B8" w:rsidRPr="002C417C" w:rsidRDefault="006E694A">
            <w:pPr>
              <w:spacing w:after="0"/>
              <w:ind w:left="0" w:firstLine="0"/>
              <w:rPr>
                <w:sz w:val="28"/>
                <w:szCs w:val="28"/>
              </w:rPr>
            </w:pPr>
            <w:r w:rsidRPr="002C417C">
              <w:rPr>
                <w:i/>
                <w:sz w:val="28"/>
                <w:szCs w:val="28"/>
              </w:rPr>
              <w:t xml:space="preserve">Unanswered questions </w:t>
            </w:r>
          </w:p>
        </w:tc>
      </w:tr>
      <w:tr w:rsidR="00A621B8" w:rsidRPr="002C417C">
        <w:trPr>
          <w:trHeight w:val="3102"/>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1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Provision of “entry level” housing (</w:t>
            </w:r>
            <w:r w:rsidRPr="002C417C">
              <w:rPr>
                <w:i/>
                <w:sz w:val="28"/>
                <w:szCs w:val="28"/>
              </w:rPr>
              <w:t>i.e.</w:t>
            </w:r>
            <w:r w:rsidRPr="002C417C">
              <w:rPr>
                <w:sz w:val="28"/>
                <w:szCs w:val="28"/>
              </w:rPr>
              <w:t xml:space="preserve"> housing suitable for young academics and families wishing to live at Keele (largely because of having jobs at the University) who are currently unable to get on the property ladder)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72387A">
            <w:pPr>
              <w:spacing w:after="149"/>
              <w:ind w:left="0" w:firstLine="0"/>
              <w:rPr>
                <w:sz w:val="28"/>
                <w:szCs w:val="28"/>
              </w:rPr>
            </w:pPr>
            <w:r w:rsidRPr="002C417C">
              <w:rPr>
                <w:sz w:val="28"/>
                <w:szCs w:val="28"/>
              </w:rPr>
              <w:t xml:space="preserve">SHMAA, </w:t>
            </w:r>
            <w:r w:rsidR="006E694A" w:rsidRPr="002C417C">
              <w:rPr>
                <w:sz w:val="28"/>
                <w:szCs w:val="28"/>
              </w:rPr>
              <w:t>KNPQ</w:t>
            </w:r>
            <w:r w:rsidRPr="002C417C">
              <w:rPr>
                <w:sz w:val="28"/>
                <w:szCs w:val="28"/>
              </w:rPr>
              <w:t>, UMP</w:t>
            </w:r>
            <w:r w:rsidR="006E694A" w:rsidRPr="002C417C">
              <w:rPr>
                <w:sz w:val="28"/>
                <w:szCs w:val="28"/>
              </w:rPr>
              <w:t xml:space="preserve"> </w:t>
            </w:r>
          </w:p>
          <w:p w:rsidR="00A621B8" w:rsidRPr="002C417C" w:rsidRDefault="006E694A">
            <w:pPr>
              <w:spacing w:after="14" w:line="300" w:lineRule="auto"/>
              <w:ind w:left="0" w:firstLine="0"/>
              <w:rPr>
                <w:sz w:val="28"/>
                <w:szCs w:val="28"/>
              </w:rPr>
            </w:pPr>
            <w:r w:rsidRPr="002C417C">
              <w:rPr>
                <w:i/>
                <w:sz w:val="28"/>
                <w:szCs w:val="28"/>
              </w:rPr>
              <w:t xml:space="preserve">We need to establish precise definitions of various possible housing types.  There is much talk of “affordable”, “social”, </w:t>
            </w:r>
          </w:p>
          <w:p w:rsidR="00A621B8" w:rsidRPr="002C417C" w:rsidRDefault="006E694A">
            <w:pPr>
              <w:spacing w:after="0"/>
              <w:ind w:left="0" w:firstLine="0"/>
              <w:rPr>
                <w:sz w:val="28"/>
                <w:szCs w:val="28"/>
              </w:rPr>
            </w:pPr>
            <w:r w:rsidRPr="002C417C">
              <w:rPr>
                <w:i/>
                <w:sz w:val="28"/>
                <w:szCs w:val="28"/>
              </w:rPr>
              <w:t>“</w:t>
            </w:r>
            <w:proofErr w:type="gramStart"/>
            <w:r w:rsidRPr="002C417C">
              <w:rPr>
                <w:i/>
                <w:sz w:val="28"/>
                <w:szCs w:val="28"/>
              </w:rPr>
              <w:t>family</w:t>
            </w:r>
            <w:proofErr w:type="gramEnd"/>
            <w:r w:rsidRPr="002C417C">
              <w:rPr>
                <w:i/>
                <w:sz w:val="28"/>
                <w:szCs w:val="28"/>
              </w:rPr>
              <w:t xml:space="preserve">”, “executive” </w:t>
            </w:r>
            <w:proofErr w:type="spellStart"/>
            <w:r w:rsidRPr="002C417C">
              <w:rPr>
                <w:i/>
                <w:sz w:val="28"/>
                <w:szCs w:val="28"/>
              </w:rPr>
              <w:t>etc</w:t>
            </w:r>
            <w:proofErr w:type="spellEnd"/>
            <w:r w:rsidRPr="002C417C">
              <w:rPr>
                <w:i/>
                <w:sz w:val="28"/>
                <w:szCs w:val="28"/>
              </w:rPr>
              <w:t xml:space="preserve">… housing types, but these terms either have very specific meanings or no meaning at all in planning terms.  We need to use these terms accurately. </w:t>
            </w:r>
          </w:p>
        </w:tc>
      </w:tr>
      <w:tr w:rsidR="00A621B8" w:rsidRPr="002C417C" w:rsidTr="00B87BBD">
        <w:trPr>
          <w:trHeight w:val="2375"/>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lastRenderedPageBreak/>
              <w:t xml:space="preserve">2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B87BBD">
            <w:pPr>
              <w:spacing w:after="29"/>
              <w:ind w:left="0" w:firstLine="0"/>
              <w:rPr>
                <w:sz w:val="28"/>
                <w:szCs w:val="28"/>
              </w:rPr>
            </w:pPr>
            <w:r w:rsidRPr="002C417C">
              <w:rPr>
                <w:sz w:val="28"/>
                <w:szCs w:val="28"/>
              </w:rPr>
              <w:t>Provision of “exit level” housing (</w:t>
            </w:r>
            <w:r w:rsidRPr="002C417C">
              <w:rPr>
                <w:i/>
                <w:sz w:val="28"/>
                <w:szCs w:val="28"/>
              </w:rPr>
              <w:t>i.e.</w:t>
            </w:r>
            <w:r w:rsidRPr="002C417C">
              <w:rPr>
                <w:sz w:val="28"/>
                <w:szCs w:val="28"/>
              </w:rPr>
              <w:t xml:space="preserve"> </w:t>
            </w:r>
          </w:p>
          <w:p w:rsidR="00A621B8" w:rsidRPr="002C417C" w:rsidRDefault="006E694A" w:rsidP="00B87BBD">
            <w:pPr>
              <w:spacing w:after="0"/>
              <w:ind w:left="0" w:firstLine="0"/>
              <w:rPr>
                <w:sz w:val="28"/>
                <w:szCs w:val="28"/>
              </w:rPr>
            </w:pPr>
            <w:proofErr w:type="gramStart"/>
            <w:r w:rsidRPr="002C417C">
              <w:rPr>
                <w:sz w:val="28"/>
                <w:szCs w:val="28"/>
              </w:rPr>
              <w:t>housing</w:t>
            </w:r>
            <w:proofErr w:type="gramEnd"/>
            <w:r w:rsidRPr="002C417C">
              <w:rPr>
                <w:sz w:val="28"/>
                <w:szCs w:val="28"/>
              </w:rPr>
              <w:t xml:space="preserve"> suitable for older people currently living in Keele who wish to downsize but cannot do so because of a lack of suitable smaller properties).  This objective links to Objective 1 in that encouragement of downsizing will free up family-sized houses.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72387A" w:rsidP="0072387A">
            <w:pPr>
              <w:spacing w:after="0"/>
              <w:ind w:left="0" w:firstLine="0"/>
              <w:rPr>
                <w:sz w:val="28"/>
                <w:szCs w:val="28"/>
              </w:rPr>
            </w:pPr>
            <w:r w:rsidRPr="002C417C">
              <w:rPr>
                <w:sz w:val="28"/>
                <w:szCs w:val="28"/>
              </w:rPr>
              <w:t>SHMAA, KNPQ, UMP</w:t>
            </w:r>
          </w:p>
        </w:tc>
      </w:tr>
      <w:tr w:rsidR="00A621B8" w:rsidRPr="002C417C" w:rsidTr="00B87BBD">
        <w:trPr>
          <w:trHeight w:val="1162"/>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3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B87BBD">
            <w:pPr>
              <w:spacing w:after="0"/>
              <w:ind w:left="0" w:firstLine="0"/>
              <w:rPr>
                <w:sz w:val="28"/>
                <w:szCs w:val="28"/>
              </w:rPr>
            </w:pPr>
            <w:r w:rsidRPr="002C417C">
              <w:rPr>
                <w:sz w:val="28"/>
                <w:szCs w:val="28"/>
              </w:rPr>
              <w:t xml:space="preserve">Maintain viability of community by providing housing suitable for young and growing families.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72387A">
            <w:pPr>
              <w:spacing w:after="0"/>
              <w:ind w:left="0" w:firstLine="0"/>
              <w:rPr>
                <w:sz w:val="28"/>
                <w:szCs w:val="28"/>
              </w:rPr>
            </w:pPr>
            <w:r w:rsidRPr="002C417C">
              <w:rPr>
                <w:sz w:val="28"/>
                <w:szCs w:val="28"/>
              </w:rPr>
              <w:t>JLP,  NPHPG, KNPQ, UMP</w:t>
            </w:r>
          </w:p>
        </w:tc>
      </w:tr>
      <w:tr w:rsidR="00A621B8" w:rsidRPr="002C417C" w:rsidTr="00B87BBD">
        <w:trPr>
          <w:trHeight w:val="1160"/>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4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B87BBD">
            <w:pPr>
              <w:spacing w:after="0"/>
              <w:ind w:left="0" w:firstLine="0"/>
              <w:rPr>
                <w:sz w:val="28"/>
                <w:szCs w:val="28"/>
              </w:rPr>
            </w:pPr>
            <w:r w:rsidRPr="002C417C">
              <w:rPr>
                <w:sz w:val="28"/>
                <w:szCs w:val="28"/>
              </w:rPr>
              <w:t xml:space="preserve">Preservation of current pattern of settlement (densely settled nuclei separated by green space)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72387A">
            <w:pPr>
              <w:spacing w:after="149"/>
              <w:ind w:left="0" w:firstLine="0"/>
              <w:rPr>
                <w:sz w:val="28"/>
                <w:szCs w:val="28"/>
              </w:rPr>
            </w:pPr>
            <w:r w:rsidRPr="002C417C">
              <w:rPr>
                <w:sz w:val="28"/>
                <w:szCs w:val="28"/>
              </w:rPr>
              <w:t xml:space="preserve">NPHPG, JLP, </w:t>
            </w:r>
            <w:r w:rsidRPr="002C417C">
              <w:rPr>
                <w:sz w:val="28"/>
                <w:szCs w:val="28"/>
              </w:rPr>
              <w:t>KNPQ</w:t>
            </w:r>
          </w:p>
          <w:p w:rsidR="00A621B8" w:rsidRPr="002C417C" w:rsidRDefault="006E694A">
            <w:pPr>
              <w:spacing w:after="0"/>
              <w:ind w:left="0" w:firstLine="0"/>
              <w:rPr>
                <w:sz w:val="28"/>
                <w:szCs w:val="28"/>
              </w:rPr>
            </w:pPr>
            <w:r w:rsidRPr="002C417C">
              <w:rPr>
                <w:i/>
                <w:sz w:val="28"/>
                <w:szCs w:val="28"/>
              </w:rPr>
              <w:t xml:space="preserve">?? Heritage Assessment </w:t>
            </w:r>
          </w:p>
        </w:tc>
      </w:tr>
      <w:tr w:rsidR="00A621B8" w:rsidRPr="002C417C" w:rsidTr="002C417C">
        <w:trPr>
          <w:trHeight w:val="858"/>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5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2C417C">
            <w:pPr>
              <w:spacing w:after="0"/>
              <w:ind w:left="0" w:firstLine="0"/>
              <w:rPr>
                <w:sz w:val="28"/>
                <w:szCs w:val="28"/>
              </w:rPr>
            </w:pPr>
            <w:r w:rsidRPr="002C417C">
              <w:rPr>
                <w:sz w:val="28"/>
                <w:szCs w:val="28"/>
              </w:rPr>
              <w:t xml:space="preserve">Develop consistent policy on infill and brownfield sites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B87BBD">
            <w:pPr>
              <w:spacing w:after="0"/>
              <w:ind w:left="0" w:firstLine="0"/>
              <w:rPr>
                <w:sz w:val="28"/>
                <w:szCs w:val="28"/>
              </w:rPr>
            </w:pPr>
            <w:r w:rsidRPr="002C417C">
              <w:rPr>
                <w:sz w:val="28"/>
                <w:szCs w:val="28"/>
              </w:rPr>
              <w:t>NPHPG, NPPF</w:t>
            </w:r>
          </w:p>
        </w:tc>
      </w:tr>
      <w:tr w:rsidR="00A621B8" w:rsidRPr="002C417C">
        <w:trPr>
          <w:trHeight w:val="1280"/>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6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Preserve the “character” of the village</w:t>
            </w:r>
            <w:r w:rsidR="00B87BBD" w:rsidRPr="002C417C">
              <w:rPr>
                <w:sz w:val="28"/>
                <w:szCs w:val="28"/>
              </w:rPr>
              <w:t>, campus</w:t>
            </w:r>
            <w:r w:rsidRPr="002C417C">
              <w:rPr>
                <w:sz w:val="28"/>
                <w:szCs w:val="28"/>
              </w:rPr>
              <w:t xml:space="preserve"> </w:t>
            </w:r>
            <w:r w:rsidR="00B87BBD" w:rsidRPr="002C417C">
              <w:rPr>
                <w:sz w:val="28"/>
                <w:szCs w:val="28"/>
              </w:rPr>
              <w:t>and outlying areas</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29"/>
              <w:ind w:left="0" w:firstLine="0"/>
              <w:rPr>
                <w:sz w:val="28"/>
                <w:szCs w:val="28"/>
              </w:rPr>
            </w:pPr>
            <w:r w:rsidRPr="002C417C">
              <w:rPr>
                <w:sz w:val="28"/>
                <w:szCs w:val="28"/>
              </w:rPr>
              <w:t>NPHPG</w:t>
            </w:r>
            <w:r w:rsidRPr="002C417C">
              <w:rPr>
                <w:b/>
                <w:sz w:val="28"/>
                <w:szCs w:val="28"/>
              </w:rPr>
              <w:t xml:space="preserve">; </w:t>
            </w:r>
            <w:r w:rsidR="00B87BBD" w:rsidRPr="002C417C">
              <w:rPr>
                <w:sz w:val="28"/>
                <w:szCs w:val="28"/>
              </w:rPr>
              <w:t>KNPQ</w:t>
            </w:r>
            <w:r w:rsidR="00B87BBD" w:rsidRPr="002C417C">
              <w:rPr>
                <w:sz w:val="28"/>
                <w:szCs w:val="28"/>
              </w:rPr>
              <w:t xml:space="preserve">, </w:t>
            </w:r>
            <w:r w:rsidR="00B87BBD" w:rsidRPr="002C417C">
              <w:rPr>
                <w:sz w:val="28"/>
                <w:szCs w:val="28"/>
              </w:rPr>
              <w:t>KNPQ</w:t>
            </w:r>
            <w:r w:rsidR="00B87BBD" w:rsidRPr="002C417C">
              <w:rPr>
                <w:b/>
                <w:sz w:val="28"/>
                <w:szCs w:val="28"/>
              </w:rPr>
              <w:t xml:space="preserve">  </w:t>
            </w:r>
            <w:r w:rsidRPr="002C417C">
              <w:rPr>
                <w:sz w:val="28"/>
                <w:szCs w:val="28"/>
              </w:rPr>
              <w:t xml:space="preserve">implied in responses to KNPQ </w:t>
            </w:r>
          </w:p>
          <w:p w:rsidR="00A621B8" w:rsidRPr="002C417C" w:rsidRDefault="006E694A">
            <w:pPr>
              <w:spacing w:after="149"/>
              <w:ind w:left="0" w:firstLine="0"/>
              <w:rPr>
                <w:sz w:val="28"/>
                <w:szCs w:val="28"/>
              </w:rPr>
            </w:pPr>
            <w:r w:rsidRPr="002C417C">
              <w:rPr>
                <w:b/>
                <w:sz w:val="28"/>
                <w:szCs w:val="28"/>
              </w:rPr>
              <w:t xml:space="preserve">(very strong message) </w:t>
            </w:r>
          </w:p>
          <w:p w:rsidR="00A621B8" w:rsidRPr="002C417C" w:rsidRDefault="00B87BBD">
            <w:pPr>
              <w:spacing w:after="0"/>
              <w:ind w:left="0" w:firstLine="0"/>
              <w:rPr>
                <w:sz w:val="28"/>
                <w:szCs w:val="28"/>
              </w:rPr>
            </w:pPr>
            <w:r w:rsidRPr="002C417C">
              <w:rPr>
                <w:i/>
                <w:sz w:val="28"/>
                <w:szCs w:val="28"/>
              </w:rPr>
              <w:t xml:space="preserve">Character and </w:t>
            </w:r>
            <w:r w:rsidR="006E694A" w:rsidRPr="002C417C">
              <w:rPr>
                <w:i/>
                <w:sz w:val="28"/>
                <w:szCs w:val="28"/>
              </w:rPr>
              <w:t>Heritage Assessment</w:t>
            </w:r>
            <w:r w:rsidR="006E694A" w:rsidRPr="002C417C">
              <w:rPr>
                <w:sz w:val="28"/>
                <w:szCs w:val="28"/>
              </w:rPr>
              <w:t xml:space="preserve"> </w:t>
            </w:r>
          </w:p>
        </w:tc>
      </w:tr>
      <w:tr w:rsidR="00A621B8" w:rsidRPr="002C417C">
        <w:trPr>
          <w:trHeight w:val="977"/>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7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Avoid uniform, characterless development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149"/>
              <w:ind w:left="0" w:firstLine="0"/>
              <w:rPr>
                <w:sz w:val="28"/>
                <w:szCs w:val="28"/>
              </w:rPr>
            </w:pPr>
            <w:r w:rsidRPr="002C417C">
              <w:rPr>
                <w:sz w:val="28"/>
                <w:szCs w:val="28"/>
              </w:rPr>
              <w:t xml:space="preserve">NPHPG; implied in responses to KNPQ </w:t>
            </w:r>
          </w:p>
          <w:p w:rsidR="00A621B8" w:rsidRPr="002C417C" w:rsidRDefault="006E694A">
            <w:pPr>
              <w:spacing w:after="0"/>
              <w:ind w:left="0" w:firstLine="0"/>
              <w:rPr>
                <w:sz w:val="28"/>
                <w:szCs w:val="28"/>
              </w:rPr>
            </w:pPr>
            <w:r w:rsidRPr="002C417C">
              <w:rPr>
                <w:i/>
                <w:sz w:val="28"/>
                <w:szCs w:val="28"/>
              </w:rPr>
              <w:t>?? Heritage Assessment</w:t>
            </w:r>
            <w:r w:rsidRPr="002C417C">
              <w:rPr>
                <w:sz w:val="28"/>
                <w:szCs w:val="28"/>
              </w:rPr>
              <w:t xml:space="preserve"> </w:t>
            </w:r>
          </w:p>
        </w:tc>
      </w:tr>
      <w:tr w:rsidR="00A621B8" w:rsidRPr="002C417C" w:rsidTr="002C417C">
        <w:trPr>
          <w:trHeight w:val="857"/>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8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2C417C">
            <w:pPr>
              <w:spacing w:after="0"/>
              <w:ind w:left="0" w:firstLine="0"/>
              <w:rPr>
                <w:sz w:val="28"/>
                <w:szCs w:val="28"/>
              </w:rPr>
            </w:pPr>
            <w:r w:rsidRPr="002C417C">
              <w:rPr>
                <w:sz w:val="28"/>
                <w:szCs w:val="28"/>
              </w:rPr>
              <w:t xml:space="preserve">Avoid pastiche; encourage building in contemporary idiom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NPHPG </w:t>
            </w:r>
          </w:p>
        </w:tc>
      </w:tr>
      <w:tr w:rsidR="00A621B8" w:rsidRPr="002C417C">
        <w:trPr>
          <w:trHeight w:val="858"/>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 w:firstLine="0"/>
              <w:jc w:val="center"/>
              <w:rPr>
                <w:sz w:val="28"/>
                <w:szCs w:val="28"/>
              </w:rPr>
            </w:pPr>
            <w:r w:rsidRPr="002C417C">
              <w:rPr>
                <w:sz w:val="28"/>
                <w:szCs w:val="28"/>
              </w:rPr>
              <w:t xml:space="preserve">9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Honour integrity of the Green Belt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0"/>
              <w:ind w:left="0" w:firstLine="0"/>
              <w:rPr>
                <w:sz w:val="28"/>
                <w:szCs w:val="28"/>
              </w:rPr>
            </w:pPr>
            <w:r w:rsidRPr="002C417C">
              <w:rPr>
                <w:sz w:val="28"/>
                <w:szCs w:val="28"/>
              </w:rPr>
              <w:t xml:space="preserve">KPC.  </w:t>
            </w:r>
            <w:r w:rsidRPr="002C417C">
              <w:rPr>
                <w:i/>
                <w:sz w:val="28"/>
                <w:szCs w:val="28"/>
              </w:rPr>
              <w:t>Need to check exact wording of KPC position on this.</w:t>
            </w:r>
            <w:r w:rsidRPr="002C417C">
              <w:rPr>
                <w:sz w:val="28"/>
                <w:szCs w:val="28"/>
              </w:rPr>
              <w:t xml:space="preserve"> </w:t>
            </w:r>
          </w:p>
        </w:tc>
      </w:tr>
      <w:tr w:rsidR="00A621B8" w:rsidRPr="002C417C">
        <w:trPr>
          <w:trHeight w:val="1888"/>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2" w:firstLine="0"/>
              <w:rPr>
                <w:sz w:val="28"/>
                <w:szCs w:val="28"/>
              </w:rPr>
            </w:pPr>
            <w:r w:rsidRPr="002C417C">
              <w:rPr>
                <w:sz w:val="28"/>
                <w:szCs w:val="28"/>
              </w:rPr>
              <w:lastRenderedPageBreak/>
              <w:t xml:space="preserve">10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Provide housing opportunities for specific target groups of economic importance to the village / university community (</w:t>
            </w:r>
            <w:r w:rsidRPr="002C417C">
              <w:rPr>
                <w:i/>
                <w:sz w:val="28"/>
                <w:szCs w:val="28"/>
              </w:rPr>
              <w:t>e.g.</w:t>
            </w:r>
            <w:r w:rsidRPr="002C417C">
              <w:rPr>
                <w:sz w:val="28"/>
                <w:szCs w:val="28"/>
              </w:rPr>
              <w:t xml:space="preserve"> early career academics, agricultural workers)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149"/>
              <w:ind w:left="0" w:firstLine="0"/>
              <w:rPr>
                <w:sz w:val="28"/>
                <w:szCs w:val="28"/>
              </w:rPr>
            </w:pPr>
            <w:r w:rsidRPr="002C417C">
              <w:rPr>
                <w:sz w:val="28"/>
                <w:szCs w:val="28"/>
              </w:rPr>
              <w:t xml:space="preserve">NPHPG; responses to KNPQ </w:t>
            </w:r>
          </w:p>
          <w:p w:rsidR="00A621B8" w:rsidRPr="002C417C" w:rsidRDefault="006E694A">
            <w:pPr>
              <w:spacing w:after="0"/>
              <w:ind w:left="0" w:firstLine="0"/>
              <w:rPr>
                <w:sz w:val="28"/>
                <w:szCs w:val="28"/>
              </w:rPr>
            </w:pPr>
            <w:r w:rsidRPr="002C417C">
              <w:rPr>
                <w:i/>
                <w:sz w:val="28"/>
                <w:szCs w:val="28"/>
              </w:rPr>
              <w:t>In a competitive open market, a mechanism may be needed to ensure that any such housing is actually available to the intended groups (see Objective 14)</w:t>
            </w:r>
            <w:r w:rsidRPr="002C417C">
              <w:rPr>
                <w:sz w:val="28"/>
                <w:szCs w:val="28"/>
              </w:rPr>
              <w:t xml:space="preserve"> </w:t>
            </w:r>
          </w:p>
        </w:tc>
      </w:tr>
      <w:tr w:rsidR="00A621B8" w:rsidRPr="002C417C">
        <w:trPr>
          <w:trHeight w:val="553"/>
        </w:trPr>
        <w:tc>
          <w:tcPr>
            <w:tcW w:w="563"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0"/>
              <w:ind w:left="62" w:firstLine="0"/>
              <w:rPr>
                <w:sz w:val="28"/>
                <w:szCs w:val="28"/>
              </w:rPr>
            </w:pPr>
            <w:r w:rsidRPr="002C417C">
              <w:rPr>
                <w:sz w:val="28"/>
                <w:szCs w:val="28"/>
              </w:rPr>
              <w:t xml:space="preserve">11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0"/>
              <w:ind w:left="0" w:firstLine="0"/>
              <w:rPr>
                <w:sz w:val="28"/>
                <w:szCs w:val="28"/>
              </w:rPr>
            </w:pPr>
            <w:r w:rsidRPr="002C417C">
              <w:rPr>
                <w:sz w:val="28"/>
                <w:szCs w:val="28"/>
              </w:rPr>
              <w:t xml:space="preserve">Provide sites for self-build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0"/>
              <w:ind w:left="0" w:firstLine="0"/>
              <w:rPr>
                <w:sz w:val="28"/>
                <w:szCs w:val="28"/>
              </w:rPr>
            </w:pPr>
            <w:r w:rsidRPr="002C417C">
              <w:rPr>
                <w:sz w:val="28"/>
                <w:szCs w:val="28"/>
              </w:rPr>
              <w:t xml:space="preserve">Left field suggestion from NPHPG </w:t>
            </w:r>
          </w:p>
        </w:tc>
      </w:tr>
      <w:tr w:rsidR="00A621B8" w:rsidRPr="002C417C" w:rsidTr="002C417C">
        <w:trPr>
          <w:trHeight w:val="858"/>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2" w:firstLine="0"/>
              <w:rPr>
                <w:sz w:val="28"/>
                <w:szCs w:val="28"/>
              </w:rPr>
            </w:pPr>
            <w:r w:rsidRPr="002C417C">
              <w:rPr>
                <w:sz w:val="28"/>
                <w:szCs w:val="28"/>
              </w:rPr>
              <w:t xml:space="preserve">12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2C417C">
            <w:pPr>
              <w:spacing w:after="0"/>
              <w:ind w:left="0" w:firstLine="0"/>
              <w:rPr>
                <w:sz w:val="28"/>
                <w:szCs w:val="28"/>
              </w:rPr>
            </w:pPr>
            <w:r w:rsidRPr="002C417C">
              <w:rPr>
                <w:sz w:val="28"/>
                <w:szCs w:val="28"/>
              </w:rPr>
              <w:t xml:space="preserve">Ensure that new houses have adequate gardens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KNPQ </w:t>
            </w:r>
          </w:p>
        </w:tc>
      </w:tr>
      <w:tr w:rsidR="00A621B8" w:rsidRPr="002C417C">
        <w:trPr>
          <w:trHeight w:val="857"/>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2" w:firstLine="0"/>
              <w:rPr>
                <w:sz w:val="28"/>
                <w:szCs w:val="28"/>
              </w:rPr>
            </w:pPr>
            <w:r w:rsidRPr="002C417C">
              <w:rPr>
                <w:sz w:val="28"/>
                <w:szCs w:val="28"/>
              </w:rPr>
              <w:t xml:space="preserve">13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31"/>
              <w:ind w:left="0" w:firstLine="0"/>
              <w:rPr>
                <w:sz w:val="28"/>
                <w:szCs w:val="28"/>
              </w:rPr>
            </w:pPr>
            <w:r w:rsidRPr="002C417C">
              <w:rPr>
                <w:sz w:val="28"/>
                <w:szCs w:val="28"/>
              </w:rPr>
              <w:t xml:space="preserve">New developments to be (to some degree) </w:t>
            </w:r>
          </w:p>
          <w:p w:rsidR="00A621B8" w:rsidRPr="002C417C" w:rsidRDefault="006E694A">
            <w:pPr>
              <w:spacing w:after="0"/>
              <w:ind w:left="0" w:firstLine="0"/>
              <w:rPr>
                <w:sz w:val="28"/>
                <w:szCs w:val="28"/>
              </w:rPr>
            </w:pPr>
            <w:r w:rsidRPr="002C417C">
              <w:rPr>
                <w:sz w:val="28"/>
                <w:szCs w:val="28"/>
              </w:rPr>
              <w:t xml:space="preserve">“green” (energy efficient, sustainable)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KNPQ </w:t>
            </w:r>
          </w:p>
        </w:tc>
      </w:tr>
      <w:tr w:rsidR="00A621B8" w:rsidRPr="002C417C" w:rsidTr="00B87BBD">
        <w:trPr>
          <w:trHeight w:val="2495"/>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62" w:firstLine="0"/>
              <w:rPr>
                <w:sz w:val="28"/>
                <w:szCs w:val="28"/>
              </w:rPr>
            </w:pPr>
            <w:r w:rsidRPr="002C417C">
              <w:rPr>
                <w:sz w:val="28"/>
                <w:szCs w:val="28"/>
              </w:rPr>
              <w:t xml:space="preserve">14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line="286" w:lineRule="auto"/>
              <w:ind w:left="0" w:firstLine="0"/>
              <w:rPr>
                <w:sz w:val="28"/>
                <w:szCs w:val="28"/>
              </w:rPr>
            </w:pPr>
            <w:r w:rsidRPr="002C417C">
              <w:rPr>
                <w:sz w:val="28"/>
                <w:szCs w:val="28"/>
              </w:rPr>
              <w:t xml:space="preserve">Encourage / sponsor development preferentially targeted at purchasers in </w:t>
            </w:r>
          </w:p>
          <w:p w:rsidR="00A621B8" w:rsidRPr="002C417C" w:rsidRDefault="006E694A">
            <w:pPr>
              <w:spacing w:after="0"/>
              <w:ind w:left="0" w:firstLine="0"/>
              <w:rPr>
                <w:sz w:val="28"/>
                <w:szCs w:val="28"/>
              </w:rPr>
            </w:pPr>
            <w:r w:rsidRPr="002C417C">
              <w:rPr>
                <w:sz w:val="28"/>
                <w:szCs w:val="28"/>
              </w:rPr>
              <w:t xml:space="preserve">Objectives 1 and 10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B87BBD">
            <w:pPr>
              <w:spacing w:after="149"/>
              <w:ind w:left="0" w:firstLine="0"/>
              <w:rPr>
                <w:sz w:val="28"/>
                <w:szCs w:val="28"/>
              </w:rPr>
            </w:pPr>
            <w:r w:rsidRPr="002C417C">
              <w:rPr>
                <w:sz w:val="28"/>
                <w:szCs w:val="28"/>
              </w:rPr>
              <w:t xml:space="preserve">NPHPG </w:t>
            </w:r>
          </w:p>
          <w:p w:rsidR="00A621B8" w:rsidRPr="002C417C" w:rsidRDefault="006E694A" w:rsidP="00B87BBD">
            <w:pPr>
              <w:spacing w:after="0"/>
              <w:ind w:left="0" w:firstLine="0"/>
              <w:rPr>
                <w:sz w:val="28"/>
                <w:szCs w:val="28"/>
              </w:rPr>
            </w:pPr>
            <w:r w:rsidRPr="002C417C">
              <w:rPr>
                <w:i/>
                <w:sz w:val="28"/>
                <w:szCs w:val="28"/>
              </w:rPr>
              <w:t xml:space="preserve">This might be achieved by creation of a Housing Association or similar vehicle similar to the </w:t>
            </w:r>
            <w:proofErr w:type="spellStart"/>
            <w:r w:rsidRPr="002C417C">
              <w:rPr>
                <w:i/>
                <w:sz w:val="28"/>
                <w:szCs w:val="28"/>
              </w:rPr>
              <w:t>Springpool</w:t>
            </w:r>
            <w:proofErr w:type="spellEnd"/>
            <w:r w:rsidRPr="002C417C">
              <w:rPr>
                <w:i/>
                <w:sz w:val="28"/>
                <w:szCs w:val="28"/>
              </w:rPr>
              <w:t xml:space="preserve"> Association.  The practicality of doing this, and questions of funding, sponsorship </w:t>
            </w:r>
            <w:proofErr w:type="spellStart"/>
            <w:r w:rsidRPr="002C417C">
              <w:rPr>
                <w:i/>
                <w:sz w:val="28"/>
                <w:szCs w:val="28"/>
              </w:rPr>
              <w:t>etc</w:t>
            </w:r>
            <w:proofErr w:type="spellEnd"/>
            <w:r w:rsidRPr="002C417C">
              <w:rPr>
                <w:i/>
                <w:sz w:val="28"/>
                <w:szCs w:val="28"/>
              </w:rPr>
              <w:t xml:space="preserve">… have not been discussed in any detail. </w:t>
            </w:r>
          </w:p>
        </w:tc>
      </w:tr>
      <w:tr w:rsidR="00B87BBD" w:rsidRPr="002C417C" w:rsidTr="00B87BBD">
        <w:trPr>
          <w:trHeight w:val="2495"/>
        </w:trPr>
        <w:tc>
          <w:tcPr>
            <w:tcW w:w="563" w:type="dxa"/>
            <w:tcBorders>
              <w:top w:val="single" w:sz="4" w:space="0" w:color="000000"/>
              <w:left w:val="single" w:sz="4" w:space="0" w:color="000000"/>
              <w:bottom w:val="single" w:sz="4" w:space="0" w:color="000000"/>
              <w:right w:val="single" w:sz="4" w:space="0" w:color="000000"/>
            </w:tcBorders>
          </w:tcPr>
          <w:p w:rsidR="00B87BBD" w:rsidRPr="002C417C" w:rsidRDefault="002C417C">
            <w:pPr>
              <w:spacing w:after="0"/>
              <w:ind w:left="62" w:firstLine="0"/>
              <w:rPr>
                <w:sz w:val="28"/>
                <w:szCs w:val="28"/>
              </w:rPr>
            </w:pPr>
            <w:r w:rsidRPr="002C417C">
              <w:rPr>
                <w:sz w:val="28"/>
                <w:szCs w:val="28"/>
              </w:rPr>
              <w:t>15</w:t>
            </w:r>
          </w:p>
        </w:tc>
        <w:tc>
          <w:tcPr>
            <w:tcW w:w="4252" w:type="dxa"/>
            <w:tcBorders>
              <w:top w:val="single" w:sz="4" w:space="0" w:color="000000"/>
              <w:left w:val="single" w:sz="4" w:space="0" w:color="000000"/>
              <w:bottom w:val="single" w:sz="4" w:space="0" w:color="000000"/>
              <w:right w:val="single" w:sz="4" w:space="0" w:color="000000"/>
            </w:tcBorders>
          </w:tcPr>
          <w:p w:rsidR="00B87BBD" w:rsidRPr="002C417C" w:rsidRDefault="00B87BBD">
            <w:pPr>
              <w:spacing w:after="0" w:line="286" w:lineRule="auto"/>
              <w:ind w:left="0" w:firstLine="0"/>
              <w:rPr>
                <w:sz w:val="28"/>
                <w:szCs w:val="28"/>
              </w:rPr>
            </w:pPr>
            <w:r w:rsidRPr="002C417C">
              <w:rPr>
                <w:sz w:val="28"/>
                <w:szCs w:val="28"/>
              </w:rPr>
              <w:t>Funding vehicles for envisaged development</w:t>
            </w:r>
          </w:p>
        </w:tc>
        <w:tc>
          <w:tcPr>
            <w:tcW w:w="4252" w:type="dxa"/>
            <w:tcBorders>
              <w:top w:val="single" w:sz="4" w:space="0" w:color="000000"/>
              <w:left w:val="single" w:sz="4" w:space="0" w:color="000000"/>
              <w:bottom w:val="single" w:sz="4" w:space="0" w:color="000000"/>
              <w:right w:val="single" w:sz="4" w:space="0" w:color="000000"/>
            </w:tcBorders>
          </w:tcPr>
          <w:p w:rsidR="00B87BBD" w:rsidRPr="002C417C" w:rsidRDefault="00B87BBD" w:rsidP="00B87BBD">
            <w:pPr>
              <w:spacing w:after="149"/>
              <w:ind w:left="0" w:firstLine="0"/>
              <w:rPr>
                <w:sz w:val="28"/>
                <w:szCs w:val="28"/>
              </w:rPr>
            </w:pPr>
            <w:r w:rsidRPr="002C417C">
              <w:rPr>
                <w:sz w:val="28"/>
                <w:szCs w:val="28"/>
              </w:rPr>
              <w:t xml:space="preserve">If this is to be included need for initial discussions with KPC and University; subsequently with </w:t>
            </w:r>
            <w:proofErr w:type="spellStart"/>
            <w:r w:rsidRPr="002C417C">
              <w:rPr>
                <w:sz w:val="28"/>
                <w:szCs w:val="28"/>
              </w:rPr>
              <w:t>NuLBC</w:t>
            </w:r>
            <w:proofErr w:type="spellEnd"/>
            <w:r w:rsidRPr="002C417C">
              <w:rPr>
                <w:sz w:val="28"/>
                <w:szCs w:val="28"/>
              </w:rPr>
              <w:t xml:space="preserve">, consultants, possible housing providers </w:t>
            </w:r>
            <w:proofErr w:type="spellStart"/>
            <w:r w:rsidRPr="002C417C">
              <w:rPr>
                <w:sz w:val="28"/>
                <w:szCs w:val="28"/>
              </w:rPr>
              <w:t>etc</w:t>
            </w:r>
            <w:proofErr w:type="spellEnd"/>
          </w:p>
        </w:tc>
      </w:tr>
    </w:tbl>
    <w:p w:rsidR="00A621B8" w:rsidRPr="002C417C" w:rsidRDefault="006E694A">
      <w:pPr>
        <w:spacing w:after="149"/>
        <w:ind w:left="0" w:firstLine="0"/>
        <w:jc w:val="both"/>
        <w:rPr>
          <w:sz w:val="28"/>
          <w:szCs w:val="28"/>
        </w:rPr>
      </w:pPr>
      <w:r w:rsidRPr="002C417C">
        <w:rPr>
          <w:sz w:val="28"/>
          <w:szCs w:val="28"/>
        </w:rPr>
        <w:t xml:space="preserve"> </w:t>
      </w:r>
    </w:p>
    <w:p w:rsidR="00A621B8" w:rsidRPr="002C417C" w:rsidRDefault="006E694A">
      <w:pPr>
        <w:spacing w:after="0"/>
        <w:ind w:left="0" w:firstLine="0"/>
        <w:jc w:val="both"/>
        <w:rPr>
          <w:sz w:val="28"/>
          <w:szCs w:val="28"/>
        </w:rPr>
      </w:pPr>
      <w:r w:rsidRPr="002C417C">
        <w:rPr>
          <w:sz w:val="28"/>
          <w:szCs w:val="28"/>
        </w:rPr>
        <w:t xml:space="preserve"> </w:t>
      </w:r>
    </w:p>
    <w:p w:rsidR="00A621B8" w:rsidRPr="002C417C" w:rsidRDefault="006E694A">
      <w:pPr>
        <w:spacing w:after="150"/>
        <w:ind w:left="-5"/>
        <w:rPr>
          <w:sz w:val="28"/>
          <w:szCs w:val="28"/>
        </w:rPr>
      </w:pPr>
      <w:r w:rsidRPr="002C417C">
        <w:rPr>
          <w:rFonts w:ascii="Arial" w:eastAsia="Arial" w:hAnsi="Arial" w:cs="Arial"/>
          <w:i/>
          <w:sz w:val="28"/>
          <w:szCs w:val="28"/>
          <w:u w:val="single" w:color="000000"/>
        </w:rPr>
        <w:t>Possible policy areas</w:t>
      </w:r>
      <w:r w:rsidRPr="002C417C">
        <w:rPr>
          <w:rFonts w:ascii="Arial" w:eastAsia="Arial" w:hAnsi="Arial" w:cs="Arial"/>
          <w:i/>
          <w:sz w:val="28"/>
          <w:szCs w:val="28"/>
        </w:rPr>
        <w:t xml:space="preserve"> </w:t>
      </w:r>
    </w:p>
    <w:p w:rsidR="00A621B8" w:rsidRPr="002C417C" w:rsidRDefault="006E694A">
      <w:pPr>
        <w:spacing w:after="0"/>
        <w:ind w:left="-5"/>
        <w:rPr>
          <w:sz w:val="28"/>
          <w:szCs w:val="28"/>
        </w:rPr>
      </w:pPr>
      <w:r w:rsidRPr="002C417C">
        <w:rPr>
          <w:sz w:val="28"/>
          <w:szCs w:val="28"/>
        </w:rPr>
        <w:t xml:space="preserve">Possible policy areas were only discussed in the vaguest terms.  It will be challenging to compress all (or most) of the above into a small number of policies.  It was noted that many of the resulting policies will need to be cross-referenced to policies in other Policy areas. </w:t>
      </w:r>
    </w:p>
    <w:tbl>
      <w:tblPr>
        <w:tblStyle w:val="TableGrid"/>
        <w:tblW w:w="9067" w:type="dxa"/>
        <w:tblInd w:w="5" w:type="dxa"/>
        <w:tblCellMar>
          <w:top w:w="134" w:type="dxa"/>
          <w:left w:w="108" w:type="dxa"/>
          <w:right w:w="60" w:type="dxa"/>
        </w:tblCellMar>
        <w:tblLook w:val="04A0" w:firstRow="1" w:lastRow="0" w:firstColumn="1" w:lastColumn="0" w:noHBand="0" w:noVBand="1"/>
      </w:tblPr>
      <w:tblGrid>
        <w:gridCol w:w="563"/>
        <w:gridCol w:w="4252"/>
        <w:gridCol w:w="4252"/>
      </w:tblGrid>
      <w:tr w:rsidR="00A621B8" w:rsidRPr="002C417C">
        <w:trPr>
          <w:trHeight w:val="977"/>
        </w:trPr>
        <w:tc>
          <w:tcPr>
            <w:tcW w:w="4815" w:type="dxa"/>
            <w:gridSpan w:val="2"/>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lastRenderedPageBreak/>
              <w:t xml:space="preserve">Policy area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149"/>
              <w:ind w:left="0" w:firstLine="0"/>
              <w:rPr>
                <w:sz w:val="28"/>
                <w:szCs w:val="28"/>
              </w:rPr>
            </w:pPr>
            <w:r w:rsidRPr="002C417C">
              <w:rPr>
                <w:sz w:val="28"/>
                <w:szCs w:val="28"/>
              </w:rPr>
              <w:t xml:space="preserve">Source(s) of evidence </w:t>
            </w:r>
          </w:p>
          <w:p w:rsidR="00A621B8" w:rsidRPr="002C417C" w:rsidRDefault="006E694A">
            <w:pPr>
              <w:spacing w:after="0"/>
              <w:ind w:left="0" w:firstLine="0"/>
              <w:rPr>
                <w:sz w:val="28"/>
                <w:szCs w:val="28"/>
              </w:rPr>
            </w:pPr>
            <w:r w:rsidRPr="002C417C">
              <w:rPr>
                <w:i/>
                <w:sz w:val="28"/>
                <w:szCs w:val="28"/>
              </w:rPr>
              <w:t xml:space="preserve">Comments </w:t>
            </w:r>
          </w:p>
        </w:tc>
      </w:tr>
      <w:tr w:rsidR="00A621B8" w:rsidRPr="002C417C" w:rsidTr="00B87BBD">
        <w:trPr>
          <w:trHeight w:val="1464"/>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right="50" w:firstLine="0"/>
              <w:jc w:val="center"/>
              <w:rPr>
                <w:sz w:val="28"/>
                <w:szCs w:val="28"/>
              </w:rPr>
            </w:pPr>
            <w:r w:rsidRPr="002C417C">
              <w:rPr>
                <w:sz w:val="28"/>
                <w:szCs w:val="28"/>
              </w:rPr>
              <w:t xml:space="preserve">1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Number of houses specified in the Neighbourhood Plan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B87BBD">
            <w:pPr>
              <w:spacing w:after="0"/>
              <w:ind w:left="0" w:firstLine="0"/>
              <w:rPr>
                <w:sz w:val="28"/>
                <w:szCs w:val="28"/>
              </w:rPr>
            </w:pPr>
            <w:r w:rsidRPr="002C417C">
              <w:rPr>
                <w:sz w:val="28"/>
                <w:szCs w:val="28"/>
              </w:rPr>
              <w:t xml:space="preserve">Number to be influenced by SHMAA figures and to take into account numbers already locked in by Hawthorns development.  Links to Facilities Policy area. </w:t>
            </w:r>
          </w:p>
        </w:tc>
      </w:tr>
      <w:tr w:rsidR="00A621B8" w:rsidRPr="002C417C" w:rsidTr="00B87BBD">
        <w:trPr>
          <w:trHeight w:val="3894"/>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right="50" w:firstLine="0"/>
              <w:jc w:val="center"/>
              <w:rPr>
                <w:sz w:val="28"/>
                <w:szCs w:val="28"/>
              </w:rPr>
            </w:pPr>
            <w:r w:rsidRPr="002C417C">
              <w:rPr>
                <w:sz w:val="28"/>
                <w:szCs w:val="28"/>
              </w:rPr>
              <w:t xml:space="preserve">2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Types of housing specified in neighbourhood Plan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B87BBD">
            <w:pPr>
              <w:spacing w:after="0" w:line="287" w:lineRule="auto"/>
              <w:ind w:left="0" w:firstLine="0"/>
              <w:rPr>
                <w:sz w:val="28"/>
                <w:szCs w:val="28"/>
              </w:rPr>
            </w:pPr>
            <w:r w:rsidRPr="002C417C">
              <w:rPr>
                <w:sz w:val="28"/>
                <w:szCs w:val="28"/>
              </w:rPr>
              <w:t xml:space="preserve">This policy area might be rolled into Policy 1 if carefully drafted.  Housing types must reflect: a) results of KNPQ; b) housing type numbers in Hawthorns development; c) disparity between a) and b) and “Executive Housing” Question </w:t>
            </w:r>
            <w:r w:rsidRPr="002C417C">
              <w:rPr>
                <w:i/>
                <w:sz w:val="28"/>
                <w:szCs w:val="28"/>
              </w:rPr>
              <w:t>[oversupply of large houses in Hawthorns]</w:t>
            </w:r>
            <w:r w:rsidRPr="002C417C">
              <w:rPr>
                <w:sz w:val="28"/>
                <w:szCs w:val="28"/>
              </w:rPr>
              <w:t xml:space="preserve">; d) employment numbers projections of University and Science Park companies.  Need to (if possible) discourage commuting implies need for close linkage with Transport and </w:t>
            </w:r>
          </w:p>
          <w:p w:rsidR="00A621B8" w:rsidRPr="002C417C" w:rsidRDefault="006E694A" w:rsidP="00B87BBD">
            <w:pPr>
              <w:spacing w:after="0"/>
              <w:ind w:left="0" w:firstLine="0"/>
              <w:rPr>
                <w:sz w:val="28"/>
                <w:szCs w:val="28"/>
              </w:rPr>
            </w:pPr>
            <w:r w:rsidRPr="002C417C">
              <w:rPr>
                <w:sz w:val="28"/>
                <w:szCs w:val="28"/>
              </w:rPr>
              <w:t xml:space="preserve">Environment (Sustainability) policy areas. </w:t>
            </w:r>
          </w:p>
        </w:tc>
      </w:tr>
      <w:tr w:rsidR="00A621B8" w:rsidRPr="002C417C" w:rsidTr="00B87BBD">
        <w:trPr>
          <w:trHeight w:val="2071"/>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right="50" w:firstLine="0"/>
              <w:jc w:val="center"/>
              <w:rPr>
                <w:sz w:val="28"/>
                <w:szCs w:val="28"/>
              </w:rPr>
            </w:pPr>
            <w:r w:rsidRPr="002C417C">
              <w:rPr>
                <w:sz w:val="28"/>
                <w:szCs w:val="28"/>
              </w:rPr>
              <w:t xml:space="preserve">3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Location(s) of envisaged development</w:t>
            </w:r>
            <w:r w:rsidR="00B87BBD" w:rsidRPr="002C417C">
              <w:rPr>
                <w:sz w:val="28"/>
                <w:szCs w:val="28"/>
              </w:rPr>
              <w:t>.  Consider allocation of specific sites.</w:t>
            </w:r>
            <w:r w:rsidRPr="002C417C">
              <w:rPr>
                <w:sz w:val="28"/>
                <w:szCs w:val="28"/>
              </w:rPr>
              <w:t xml:space="preserve">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rsidP="00B87BBD">
            <w:pPr>
              <w:spacing w:after="0"/>
              <w:ind w:left="0" w:firstLine="0"/>
              <w:rPr>
                <w:sz w:val="28"/>
                <w:szCs w:val="28"/>
              </w:rPr>
            </w:pPr>
            <w:r w:rsidRPr="002C417C">
              <w:rPr>
                <w:sz w:val="28"/>
                <w:szCs w:val="28"/>
              </w:rPr>
              <w:t>Maps: Greenbelt, Conservation status; environmental status and aspirations; transport</w:t>
            </w:r>
            <w:proofErr w:type="gramStart"/>
            <w:r w:rsidRPr="002C417C">
              <w:rPr>
                <w:sz w:val="28"/>
                <w:szCs w:val="28"/>
              </w:rPr>
              <w:t>; ?</w:t>
            </w:r>
            <w:proofErr w:type="gramEnd"/>
            <w:r w:rsidRPr="002C417C">
              <w:rPr>
                <w:sz w:val="28"/>
                <w:szCs w:val="28"/>
              </w:rPr>
              <w:t xml:space="preserve"> other services; other constraints on land use (agricultural use and intentions of landholders, mineral protection zones, contaminated land) </w:t>
            </w:r>
          </w:p>
        </w:tc>
      </w:tr>
      <w:tr w:rsidR="00A621B8" w:rsidRPr="002C417C">
        <w:trPr>
          <w:trHeight w:val="857"/>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right="50" w:firstLine="0"/>
              <w:jc w:val="center"/>
              <w:rPr>
                <w:sz w:val="28"/>
                <w:szCs w:val="28"/>
              </w:rPr>
            </w:pPr>
            <w:r w:rsidRPr="002C417C">
              <w:rPr>
                <w:sz w:val="28"/>
                <w:szCs w:val="28"/>
              </w:rPr>
              <w:t xml:space="preserve">4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rsidP="00B87BBD">
            <w:pPr>
              <w:spacing w:after="0"/>
              <w:ind w:left="0" w:firstLine="0"/>
              <w:rPr>
                <w:sz w:val="28"/>
                <w:szCs w:val="28"/>
              </w:rPr>
            </w:pPr>
            <w:r w:rsidRPr="002C417C">
              <w:rPr>
                <w:sz w:val="28"/>
                <w:szCs w:val="28"/>
              </w:rPr>
              <w:t xml:space="preserve">Aesthetics of envisaged development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0"/>
              <w:ind w:left="0" w:firstLine="0"/>
              <w:rPr>
                <w:sz w:val="28"/>
                <w:szCs w:val="28"/>
              </w:rPr>
            </w:pPr>
            <w:r w:rsidRPr="002C417C">
              <w:rPr>
                <w:sz w:val="28"/>
                <w:szCs w:val="28"/>
              </w:rPr>
              <w:t>Need to link to Heritage As</w:t>
            </w:r>
            <w:r w:rsidR="00B87BBD" w:rsidRPr="002C417C">
              <w:rPr>
                <w:sz w:val="28"/>
                <w:szCs w:val="28"/>
              </w:rPr>
              <w:t>sessment + building regulation.  Encourage diversity, avoid pastiche, promote high quality design</w:t>
            </w:r>
          </w:p>
        </w:tc>
      </w:tr>
      <w:tr w:rsidR="00A621B8" w:rsidRPr="002C417C">
        <w:trPr>
          <w:trHeight w:val="1464"/>
        </w:trPr>
        <w:tc>
          <w:tcPr>
            <w:tcW w:w="563"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right="50" w:firstLine="0"/>
              <w:jc w:val="center"/>
              <w:rPr>
                <w:sz w:val="28"/>
                <w:szCs w:val="28"/>
              </w:rPr>
            </w:pPr>
            <w:r w:rsidRPr="002C417C">
              <w:rPr>
                <w:sz w:val="28"/>
                <w:szCs w:val="28"/>
              </w:rPr>
              <w:lastRenderedPageBreak/>
              <w:t xml:space="preserve">5 </w:t>
            </w:r>
          </w:p>
        </w:tc>
        <w:tc>
          <w:tcPr>
            <w:tcW w:w="4252" w:type="dxa"/>
            <w:tcBorders>
              <w:top w:val="single" w:sz="4" w:space="0" w:color="000000"/>
              <w:left w:val="single" w:sz="4" w:space="0" w:color="000000"/>
              <w:bottom w:val="single" w:sz="4" w:space="0" w:color="000000"/>
              <w:right w:val="single" w:sz="4" w:space="0" w:color="000000"/>
            </w:tcBorders>
          </w:tcPr>
          <w:p w:rsidR="00A621B8" w:rsidRPr="002C417C" w:rsidRDefault="006E694A">
            <w:pPr>
              <w:spacing w:after="0"/>
              <w:ind w:left="0" w:firstLine="0"/>
              <w:rPr>
                <w:sz w:val="28"/>
                <w:szCs w:val="28"/>
              </w:rPr>
            </w:pPr>
            <w:r w:rsidRPr="002C417C">
              <w:rPr>
                <w:sz w:val="28"/>
                <w:szCs w:val="28"/>
              </w:rPr>
              <w:t xml:space="preserve">‘Environmental’ aspects of envisaged development </w:t>
            </w:r>
          </w:p>
        </w:tc>
        <w:tc>
          <w:tcPr>
            <w:tcW w:w="4252" w:type="dxa"/>
            <w:tcBorders>
              <w:top w:val="single" w:sz="4" w:space="0" w:color="000000"/>
              <w:left w:val="single" w:sz="4" w:space="0" w:color="000000"/>
              <w:bottom w:val="single" w:sz="4" w:space="0" w:color="000000"/>
              <w:right w:val="single" w:sz="4" w:space="0" w:color="000000"/>
            </w:tcBorders>
            <w:vAlign w:val="center"/>
          </w:tcPr>
          <w:p w:rsidR="00A621B8" w:rsidRPr="002C417C" w:rsidRDefault="006E694A">
            <w:pPr>
              <w:spacing w:after="0"/>
              <w:ind w:left="0" w:firstLine="0"/>
              <w:rPr>
                <w:sz w:val="28"/>
                <w:szCs w:val="28"/>
              </w:rPr>
            </w:pPr>
            <w:r w:rsidRPr="002C417C">
              <w:rPr>
                <w:sz w:val="28"/>
                <w:szCs w:val="28"/>
              </w:rPr>
              <w:t xml:space="preserve">National planning and building regulations; Keele ‘Green’ initiatives; alternative energy companies active in Science Park.  Link to Environment Policy area. </w:t>
            </w:r>
          </w:p>
        </w:tc>
      </w:tr>
    </w:tbl>
    <w:p w:rsidR="006E694A" w:rsidRPr="002C417C" w:rsidRDefault="006E694A">
      <w:pPr>
        <w:rPr>
          <w:sz w:val="28"/>
          <w:szCs w:val="28"/>
        </w:rPr>
      </w:pPr>
    </w:p>
    <w:sectPr w:rsidR="006E694A" w:rsidRPr="002C417C">
      <w:pgSz w:w="11906" w:h="16838"/>
      <w:pgMar w:top="1445" w:right="1553" w:bottom="1746"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1B8"/>
    <w:rsid w:val="002C417C"/>
    <w:rsid w:val="006E694A"/>
    <w:rsid w:val="0072387A"/>
    <w:rsid w:val="00912523"/>
    <w:rsid w:val="00A621B8"/>
    <w:rsid w:val="00B87B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B4D6D4-6285-4A19-AAA3-76D382729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5"/>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864</Words>
  <Characters>4928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Besly</dc:creator>
  <cp:keywords/>
  <cp:lastModifiedBy>Graham Bibby</cp:lastModifiedBy>
  <cp:revision>2</cp:revision>
  <dcterms:created xsi:type="dcterms:W3CDTF">2017-10-19T10:38:00Z</dcterms:created>
  <dcterms:modified xsi:type="dcterms:W3CDTF">2017-10-19T10:38:00Z</dcterms:modified>
</cp:coreProperties>
</file>